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50" w:rsidRDefault="00425A50" w:rsidP="00425A5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25A50">
        <w:rPr>
          <w:rFonts w:ascii="Times New Roman" w:hAnsi="Times New Roman" w:cs="Times New Roman"/>
          <w:b/>
          <w:szCs w:val="24"/>
        </w:rPr>
        <w:t xml:space="preserve">SERMAYE PİYASASI KURULU’NUN </w:t>
      </w:r>
      <w:r w:rsidRPr="00425A50">
        <w:rPr>
          <w:rFonts w:ascii="Times New Roman" w:hAnsi="Times New Roman" w:cs="Times New Roman"/>
          <w:b/>
          <w:szCs w:val="24"/>
        </w:rPr>
        <w:br/>
        <w:t>SERİ II NO:</w:t>
      </w:r>
      <w:proofErr w:type="gramStart"/>
      <w:r w:rsidRPr="00425A50">
        <w:rPr>
          <w:rFonts w:ascii="Times New Roman" w:hAnsi="Times New Roman" w:cs="Times New Roman"/>
          <w:b/>
          <w:szCs w:val="24"/>
        </w:rPr>
        <w:t>14.1</w:t>
      </w:r>
      <w:proofErr w:type="gramEnd"/>
      <w:r>
        <w:rPr>
          <w:rFonts w:ascii="Times New Roman" w:hAnsi="Times New Roman" w:cs="Times New Roman"/>
          <w:b/>
          <w:szCs w:val="24"/>
        </w:rPr>
        <w:t>.</w:t>
      </w:r>
      <w:r w:rsidRPr="00425A50">
        <w:rPr>
          <w:rFonts w:ascii="Times New Roman" w:hAnsi="Times New Roman" w:cs="Times New Roman"/>
          <w:b/>
          <w:szCs w:val="24"/>
        </w:rPr>
        <w:t xml:space="preserve"> SAYILI </w:t>
      </w:r>
      <w:r>
        <w:rPr>
          <w:rFonts w:ascii="Times New Roman" w:hAnsi="Times New Roman" w:cs="Times New Roman"/>
          <w:b/>
          <w:szCs w:val="24"/>
        </w:rPr>
        <w:t>“</w:t>
      </w:r>
      <w:r w:rsidRPr="00425A50">
        <w:rPr>
          <w:rFonts w:ascii="Times New Roman" w:hAnsi="Times New Roman" w:cs="Times New Roman"/>
          <w:b/>
          <w:szCs w:val="24"/>
        </w:rPr>
        <w:t>SERMAYE Pİ</w:t>
      </w:r>
      <w:r>
        <w:rPr>
          <w:rFonts w:ascii="Times New Roman" w:hAnsi="Times New Roman" w:cs="Times New Roman"/>
          <w:b/>
          <w:szCs w:val="24"/>
        </w:rPr>
        <w:t xml:space="preserve">YASASI’NDA FİNANSAL RAPORLAMAYA İLİŞKİN </w:t>
      </w:r>
      <w:r w:rsidRPr="00425A50">
        <w:rPr>
          <w:rFonts w:ascii="Times New Roman" w:hAnsi="Times New Roman" w:cs="Times New Roman"/>
          <w:b/>
          <w:szCs w:val="24"/>
        </w:rPr>
        <w:t>ESASLAR</w:t>
      </w:r>
      <w:r>
        <w:rPr>
          <w:rFonts w:ascii="Times New Roman" w:hAnsi="Times New Roman" w:cs="Times New Roman"/>
          <w:b/>
          <w:szCs w:val="24"/>
        </w:rPr>
        <w:t>”</w:t>
      </w:r>
      <w:r w:rsidRPr="00425A50">
        <w:rPr>
          <w:rFonts w:ascii="Times New Roman" w:hAnsi="Times New Roman" w:cs="Times New Roman"/>
          <w:b/>
          <w:szCs w:val="24"/>
        </w:rPr>
        <w:t xml:space="preserve"> TEBLİĞİ’NİN 9. MADDESİ GEREĞİNCE HAZIRLANAN SORUMLULUK BEYANI</w:t>
      </w:r>
    </w:p>
    <w:p w:rsidR="00425A50" w:rsidRDefault="00425A50" w:rsidP="00425A5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54349" w:rsidRPr="00425A50" w:rsidRDefault="00181049" w:rsidP="00425A50">
      <w:pPr>
        <w:spacing w:after="0"/>
        <w:rPr>
          <w:rFonts w:ascii="Times New Roman" w:hAnsi="Times New Roman" w:cs="Times New Roman"/>
          <w:b/>
          <w:szCs w:val="24"/>
        </w:rPr>
      </w:pPr>
      <w:r w:rsidRPr="00425A50">
        <w:rPr>
          <w:rFonts w:ascii="Times New Roman" w:hAnsi="Times New Roman" w:cs="Times New Roman"/>
          <w:b/>
          <w:szCs w:val="24"/>
        </w:rPr>
        <w:t>ÇUHADAROĞLU METAL SANAYİ VE PAZARLAMA A.Ş.</w:t>
      </w:r>
    </w:p>
    <w:p w:rsidR="00181049" w:rsidRPr="00425A50" w:rsidRDefault="00181049" w:rsidP="00425A50">
      <w:pPr>
        <w:spacing w:after="0"/>
        <w:rPr>
          <w:rFonts w:ascii="Times New Roman" w:hAnsi="Times New Roman" w:cs="Times New Roman"/>
          <w:b/>
          <w:szCs w:val="24"/>
        </w:rPr>
      </w:pPr>
      <w:r w:rsidRPr="00425A50">
        <w:rPr>
          <w:rFonts w:ascii="Times New Roman" w:hAnsi="Times New Roman" w:cs="Times New Roman"/>
          <w:b/>
          <w:szCs w:val="24"/>
        </w:rPr>
        <w:t xml:space="preserve">Finansal Raporu </w:t>
      </w:r>
      <w:r w:rsidR="0026334E" w:rsidRPr="00425A50">
        <w:rPr>
          <w:rFonts w:ascii="Times New Roman" w:hAnsi="Times New Roman" w:cs="Times New Roman"/>
          <w:b/>
          <w:szCs w:val="24"/>
        </w:rPr>
        <w:t>ve Faaliyet</w:t>
      </w:r>
      <w:r w:rsidRPr="00425A50">
        <w:rPr>
          <w:rFonts w:ascii="Times New Roman" w:hAnsi="Times New Roman" w:cs="Times New Roman"/>
          <w:b/>
          <w:szCs w:val="24"/>
        </w:rPr>
        <w:t xml:space="preserve"> Raporu</w:t>
      </w:r>
      <w:r w:rsidR="0026334E">
        <w:rPr>
          <w:rFonts w:ascii="Times New Roman" w:hAnsi="Times New Roman" w:cs="Times New Roman"/>
          <w:b/>
          <w:szCs w:val="24"/>
        </w:rPr>
        <w:t xml:space="preserve"> ile Kurumsal Yönetim Uyum Raporlarının Kabulüne İ</w:t>
      </w:r>
      <w:r w:rsidRPr="00425A50">
        <w:rPr>
          <w:rFonts w:ascii="Times New Roman" w:hAnsi="Times New Roman" w:cs="Times New Roman"/>
          <w:b/>
          <w:szCs w:val="24"/>
        </w:rPr>
        <w:t>lişkin Yönetim Kurulu’nun</w:t>
      </w:r>
    </w:p>
    <w:p w:rsidR="00181049" w:rsidRPr="00425A50" w:rsidRDefault="00181049" w:rsidP="00425A50">
      <w:pPr>
        <w:spacing w:after="0"/>
        <w:rPr>
          <w:rFonts w:ascii="Times New Roman" w:hAnsi="Times New Roman" w:cs="Times New Roman"/>
          <w:szCs w:val="24"/>
        </w:rPr>
      </w:pPr>
      <w:r w:rsidRPr="00425A50">
        <w:rPr>
          <w:rFonts w:ascii="Times New Roman" w:hAnsi="Times New Roman" w:cs="Times New Roman"/>
          <w:b/>
          <w:szCs w:val="24"/>
        </w:rPr>
        <w:t>Karar No:</w:t>
      </w:r>
      <w:r w:rsidRPr="00425A50">
        <w:rPr>
          <w:rFonts w:ascii="Times New Roman" w:hAnsi="Times New Roman" w:cs="Times New Roman"/>
          <w:szCs w:val="24"/>
        </w:rPr>
        <w:t xml:space="preserve"> </w:t>
      </w:r>
      <w:r w:rsidRPr="0089302D">
        <w:rPr>
          <w:rFonts w:ascii="Times New Roman" w:hAnsi="Times New Roman" w:cs="Times New Roman"/>
          <w:szCs w:val="24"/>
        </w:rPr>
        <w:t>01</w:t>
      </w:r>
      <w:r w:rsidRPr="00425A50">
        <w:rPr>
          <w:rFonts w:ascii="Times New Roman" w:hAnsi="Times New Roman" w:cs="Times New Roman"/>
          <w:szCs w:val="24"/>
        </w:rPr>
        <w:br/>
      </w:r>
      <w:r w:rsidRPr="00425A50">
        <w:rPr>
          <w:rFonts w:ascii="Times New Roman" w:hAnsi="Times New Roman" w:cs="Times New Roman"/>
          <w:b/>
          <w:szCs w:val="24"/>
        </w:rPr>
        <w:t>Sayfa No:</w:t>
      </w:r>
      <w:r w:rsidRPr="00425A50">
        <w:rPr>
          <w:rFonts w:ascii="Times New Roman" w:hAnsi="Times New Roman" w:cs="Times New Roman"/>
          <w:szCs w:val="24"/>
        </w:rPr>
        <w:t xml:space="preserve"> </w:t>
      </w:r>
      <w:r w:rsidRPr="0089302D">
        <w:rPr>
          <w:rFonts w:ascii="Times New Roman" w:hAnsi="Times New Roman" w:cs="Times New Roman"/>
          <w:szCs w:val="24"/>
        </w:rPr>
        <w:t>01</w:t>
      </w:r>
      <w:r w:rsidRPr="00425A50">
        <w:rPr>
          <w:rFonts w:ascii="Times New Roman" w:hAnsi="Times New Roman" w:cs="Times New Roman"/>
          <w:szCs w:val="24"/>
        </w:rPr>
        <w:br/>
      </w:r>
      <w:r w:rsidRPr="00425A50">
        <w:rPr>
          <w:rFonts w:ascii="Times New Roman" w:hAnsi="Times New Roman" w:cs="Times New Roman"/>
          <w:b/>
          <w:szCs w:val="24"/>
        </w:rPr>
        <w:t xml:space="preserve">Karar </w:t>
      </w:r>
      <w:r w:rsidR="0026334E">
        <w:rPr>
          <w:rFonts w:ascii="Times New Roman" w:hAnsi="Times New Roman" w:cs="Times New Roman"/>
          <w:b/>
          <w:szCs w:val="24"/>
        </w:rPr>
        <w:t>Tarihi</w:t>
      </w:r>
      <w:r w:rsidRPr="00425A50">
        <w:rPr>
          <w:rFonts w:ascii="Times New Roman" w:hAnsi="Times New Roman" w:cs="Times New Roman"/>
          <w:b/>
          <w:szCs w:val="24"/>
        </w:rPr>
        <w:t>:</w:t>
      </w:r>
      <w:r w:rsidRPr="00425A50">
        <w:rPr>
          <w:rFonts w:ascii="Times New Roman" w:hAnsi="Times New Roman" w:cs="Times New Roman"/>
          <w:szCs w:val="24"/>
        </w:rPr>
        <w:t xml:space="preserve"> </w:t>
      </w:r>
      <w:r w:rsidRPr="0089302D">
        <w:rPr>
          <w:rFonts w:ascii="Times New Roman" w:hAnsi="Times New Roman" w:cs="Times New Roman"/>
          <w:szCs w:val="24"/>
        </w:rPr>
        <w:t>11.03.2021</w:t>
      </w:r>
    </w:p>
    <w:p w:rsidR="00425A50" w:rsidRPr="00425A50" w:rsidRDefault="00425A50" w:rsidP="00425A5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89302D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Şirketimize ait</w:t>
      </w:r>
      <w:r w:rsidR="00425A50" w:rsidRPr="0089302D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 Şirketimiz Yönetim Kurulu ve Denetim Komitesi tarafından onaylanmış, 01.01.2020 -</w:t>
      </w:r>
      <w:r w:rsidRPr="0089302D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31.12.2020 dönemine ilişkin Sermaye Piyasası Kurulu ("SPK")'</w:t>
      </w:r>
      <w:proofErr w:type="spellStart"/>
      <w:r w:rsidRPr="0089302D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nun</w:t>
      </w:r>
      <w:proofErr w:type="spellEnd"/>
      <w:r w:rsidRPr="0089302D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"II-14.1 Sermaye Piyasasında Finansal Raporlamaya İlişkin Esaslar Tebliği ("Tebliğ") kapsamında Kamu Gözetimi, Muhasebe ve Denetim Standartları Kurumu ("KGK") tarafından yayınlanan Türkiye Muhasebe Standartları ("TMS") ve Türkiye Finansal Raporlama Standartları ("TFRS")'</w:t>
      </w:r>
      <w:proofErr w:type="spellStart"/>
      <w:r w:rsidRPr="0089302D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na</w:t>
      </w:r>
      <w:proofErr w:type="spellEnd"/>
      <w:r w:rsidRPr="0089302D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uygun, KGK ve SPK tarafından belirlenen formatlarla uyumlu olarak hazırlanan; bağımsız denetimden geçmiş</w:t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bir önceki dönem ile karşılaştırmalı </w:t>
      </w:r>
      <w:proofErr w:type="gramStart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konsolide</w:t>
      </w:r>
      <w:proofErr w:type="gramEnd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Finansal Durum Tablosu, Kapsamlı Gelir Tablosu, Nakit Akış Tablosu ve </w:t>
      </w:r>
      <w:proofErr w:type="spellStart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Özkaynak</w:t>
      </w:r>
      <w:proofErr w:type="spellEnd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Değişim Tablosu ve bunlara ait açıklamaları içeren Dipnotlar ("Finansal Raporlar") </w:t>
      </w:r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ve Faaliyet Raporu i</w:t>
      </w:r>
      <w:r w:rsid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le SPK'nı</w:t>
      </w:r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n </w:t>
      </w:r>
      <w:proofErr w:type="spellStart"/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SPK'nın</w:t>
      </w:r>
      <w:proofErr w:type="spellEnd"/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II-17.1 "Kurumsal Yönetim </w:t>
      </w:r>
      <w:r w:rsidR="0026334E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Tebliği </w:t>
      </w:r>
      <w:r w:rsid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ve</w:t>
      </w:r>
      <w:r w:rsid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10.01.201</w:t>
      </w:r>
      <w:r w:rsid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9 tarih ve 2/49 sayılı kararı </w:t>
      </w:r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gereğince hazırlanan Kurumsal Yönetim Uyum Raporu (</w:t>
      </w:r>
      <w:r w:rsid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“</w:t>
      </w:r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KYUR</w:t>
      </w:r>
      <w:r w:rsid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”</w:t>
      </w:r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) ile Kurumsal Yönetim Bilgi Formu (</w:t>
      </w:r>
      <w:r w:rsid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“</w:t>
      </w:r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KYBF</w:t>
      </w:r>
      <w:r w:rsid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”</w:t>
      </w:r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)'</w:t>
      </w:r>
      <w:proofErr w:type="spellStart"/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ndan</w:t>
      </w:r>
      <w:proofErr w:type="spellEnd"/>
      <w:r w:rsidR="005073E1" w:rsidRP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meydana ge</w:t>
      </w:r>
      <w:r w:rsid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len Kurumsal Yönetim </w:t>
      </w:r>
      <w:proofErr w:type="spellStart"/>
      <w:r w:rsidR="005073E1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Rapor</w:t>
      </w:r>
      <w:r w:rsid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ları’nın</w:t>
      </w:r>
      <w:proofErr w:type="spellEnd"/>
      <w:r w:rsid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;</w:t>
      </w: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- Tarafımızca incelendiğini,</w:t>
      </w: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- Şirketimizdeki görev ve sorumluluk alanımızda sahip olduğumuz bilgiler çerçevesinde, Finansal Raporlar</w:t>
      </w:r>
      <w:r w:rsid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Faaliyet Raporu</w:t>
      </w:r>
      <w:r w:rsid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ve Kurumsal Yönetim Raporlarının</w:t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önemli konularda gerçeğe aykırı bir açıklama veya açıklamanın yapıldığı tarih itibarıyla yanıltıcı olması sonucunu doğurabilecek herhangi bir eksiklik içermediğini,</w:t>
      </w: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181049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- Şirketimizdeki görev ve sorumluluk alanımızda sahip olduğumuz bilgiler çerçevesinde Tebliğ uyarınca </w:t>
      </w:r>
      <w:r w:rsidR="0026334E" w:rsidRP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TMS/</w:t>
      </w:r>
      <w:proofErr w:type="spellStart"/>
      <w:r w:rsidR="0026334E" w:rsidRP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TFRS'ye</w:t>
      </w:r>
      <w:proofErr w:type="spellEnd"/>
      <w:r w:rsidR="0026334E" w:rsidRP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uygun olarak </w:t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hazırlanmış Finansal </w:t>
      </w:r>
      <w:proofErr w:type="spellStart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Raporlar'ın</w:t>
      </w:r>
      <w:proofErr w:type="spellEnd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</w:t>
      </w:r>
      <w:proofErr w:type="gramStart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konsolidasyon</w:t>
      </w:r>
      <w:proofErr w:type="gramEnd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kapsamındakilerle birlikte, Şirketin aktifi, pasifi, finansal durumu ve kar-zararı ile ilgili gerçeği dürüst bir biçimde yansıttığını</w:t>
      </w:r>
      <w:r w:rsid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r w:rsidR="0026334E" w:rsidRP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Tebliğ uyarınca hazırlanmış Faaliyet Raporu'nun, Şirketimizin gelişimi ve performansı ile konsolidasyon kapsamındakilerle birlikte finansal durumunu, karşı karşıya olunan önemli riskler ve belirsizliklerle birlikte dürüstçe yansıttığını; Kurumsal Yönetim </w:t>
      </w:r>
      <w:proofErr w:type="spellStart"/>
      <w:r w:rsidR="0026334E" w:rsidRP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Raporları'nın</w:t>
      </w:r>
      <w:proofErr w:type="spellEnd"/>
      <w:r w:rsidR="0026334E" w:rsidRPr="0026334E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 SPK'nın Kurumsal Yönetim İlkelerinde ve ilgili düzenlemelerinde belirlenen kriterler doğrultusunda paydaşlarımıza kurumsal yönetim uygulamalarımız hakkında yeterli bilgiyi sağladığını</w:t>
      </w:r>
    </w:p>
    <w:p w:rsidR="0026334E" w:rsidRPr="00425A50" w:rsidRDefault="0026334E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proofErr w:type="gramStart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bilgilerinize</w:t>
      </w:r>
      <w:proofErr w:type="gramEnd"/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sunar, yapılan açıklamadan dolayı sorumlu olduğumuzu beyan ederiz.</w:t>
      </w:r>
    </w:p>
    <w:p w:rsidR="00181049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513479" w:rsidRPr="00425A50" w:rsidRDefault="0051347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</w:p>
    <w:p w:rsidR="00181049" w:rsidRPr="00425A50" w:rsidRDefault="00181049" w:rsidP="0042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</w:pPr>
      <w:r w:rsidRPr="00425A50"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  <w:t>Abdullah Günhan AKSOY</w:t>
      </w:r>
    </w:p>
    <w:p w:rsidR="00181049" w:rsidRPr="00425A50" w:rsidRDefault="00181049" w:rsidP="0042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Denetim Komitesi Başkanı</w:t>
      </w: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181049" w:rsidRPr="00425A50" w:rsidRDefault="00181049" w:rsidP="0042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</w:pPr>
    </w:p>
    <w:p w:rsidR="00181049" w:rsidRPr="00425A50" w:rsidRDefault="00181049" w:rsidP="0042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</w:pPr>
      <w:r w:rsidRPr="00425A50"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  <w:t>Rahime Alev DUMANLI</w:t>
      </w:r>
      <w:r w:rsidRPr="00425A50"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b/>
          <w:color w:val="333333"/>
          <w:szCs w:val="24"/>
          <w:lang w:eastAsia="tr-TR"/>
        </w:rPr>
        <w:tab/>
        <w:t>Kenan ARACI</w:t>
      </w:r>
    </w:p>
    <w:p w:rsidR="00181049" w:rsidRPr="00425A50" w:rsidRDefault="00181049" w:rsidP="0042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Denetim Komitesi Üyesi</w:t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425A50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  <w:t>Genel Müdür</w:t>
      </w:r>
    </w:p>
    <w:sectPr w:rsidR="00181049" w:rsidRPr="0042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49"/>
    <w:rsid w:val="00181049"/>
    <w:rsid w:val="0026334E"/>
    <w:rsid w:val="00425A50"/>
    <w:rsid w:val="005073E1"/>
    <w:rsid w:val="00513479"/>
    <w:rsid w:val="0089302D"/>
    <w:rsid w:val="00D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31C05-5872-45CA-B3EA-F4DFD74D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firuze cakiroglu</dc:creator>
  <cp:lastModifiedBy>Ali Tuna Şenatlı</cp:lastModifiedBy>
  <cp:revision>3</cp:revision>
  <dcterms:created xsi:type="dcterms:W3CDTF">2021-03-08T08:06:00Z</dcterms:created>
  <dcterms:modified xsi:type="dcterms:W3CDTF">2021-03-12T05:03:00Z</dcterms:modified>
</cp:coreProperties>
</file>